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558A" w14:textId="14690612" w:rsidR="00C709E8" w:rsidRDefault="00C709E8">
      <w:r>
        <w:rPr>
          <w:noProof/>
        </w:rPr>
        <w:drawing>
          <wp:inline distT="0" distB="0" distL="0" distR="0" wp14:anchorId="1C1A8C4D" wp14:editId="653AA3AE">
            <wp:extent cx="1089660" cy="545431"/>
            <wp:effectExtent l="0" t="0" r="0" b="7620"/>
            <wp:docPr id="634484967"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84967" name="Afbeelding 1" descr="Afbeelding met tekst, Lettertype, Graphics, grafische vormgev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052" cy="552635"/>
                    </a:xfrm>
                    <a:prstGeom prst="rect">
                      <a:avLst/>
                    </a:prstGeom>
                  </pic:spPr>
                </pic:pic>
              </a:graphicData>
            </a:graphic>
          </wp:inline>
        </w:drawing>
      </w:r>
    </w:p>
    <w:p w14:paraId="08B39100" w14:textId="77777777" w:rsidR="00C709E8" w:rsidRPr="00282319" w:rsidRDefault="00C709E8">
      <w:pPr>
        <w:rPr>
          <w:rFonts w:ascii="Aptos" w:hAnsi="Aptos"/>
          <w:sz w:val="22"/>
          <w:szCs w:val="22"/>
        </w:rPr>
      </w:pPr>
    </w:p>
    <w:p w14:paraId="3164F19B"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Giftenreglement</w:t>
      </w:r>
    </w:p>
    <w:p w14:paraId="6B2F5032"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124800F" w14:textId="63B3D3BF"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Lijst Melvin Smid Purmerend</w:t>
      </w:r>
    </w:p>
    <w:p w14:paraId="40517686" w14:textId="1F9D9ADE"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 xml:space="preserve">(Goedgekeurd door het bestuur d.d. </w:t>
      </w:r>
      <w:r w:rsidR="00282319">
        <w:rPr>
          <w:rFonts w:ascii="Aptos" w:eastAsia="Times New Roman" w:hAnsi="Aptos" w:cs="Arial"/>
          <w:color w:val="242424"/>
          <w:kern w:val="0"/>
          <w:sz w:val="22"/>
          <w:szCs w:val="22"/>
          <w:bdr w:val="none" w:sz="0" w:space="0" w:color="auto" w:frame="1"/>
          <w:lang w:eastAsia="nl-NL"/>
          <w14:ligatures w14:val="none"/>
        </w:rPr>
        <w:t>27 februari 2026</w:t>
      </w:r>
      <w:r w:rsidRPr="00282319">
        <w:rPr>
          <w:rFonts w:ascii="Aptos" w:eastAsia="Times New Roman" w:hAnsi="Aptos" w:cs="Arial"/>
          <w:color w:val="242424"/>
          <w:kern w:val="0"/>
          <w:sz w:val="22"/>
          <w:szCs w:val="22"/>
          <w:bdr w:val="none" w:sz="0" w:space="0" w:color="auto" w:frame="1"/>
          <w:lang w:eastAsia="nl-NL"/>
          <w14:ligatures w14:val="none"/>
        </w:rPr>
        <w:t>)</w:t>
      </w:r>
    </w:p>
    <w:p w14:paraId="103CB991"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4A79CB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2D33ABF7"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1. Doel en reikwijdte</w:t>
      </w:r>
    </w:p>
    <w:p w14:paraId="166BF1ED"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462CD8CE" w14:textId="1D6F7091" w:rsidR="00C709E8" w:rsidRPr="00282319" w:rsidRDefault="00C709E8" w:rsidP="00C709E8">
      <w:pPr>
        <w:numPr>
          <w:ilvl w:val="0"/>
          <w:numId w:val="1"/>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Dit reglement regelt de aanvaarding, registratie, verwerking en openbaarmaking van giften aan </w:t>
      </w:r>
      <w:r w:rsidRPr="00282319">
        <w:rPr>
          <w:rFonts w:ascii="Aptos" w:eastAsia="Times New Roman" w:hAnsi="Aptos" w:cs="Arial"/>
          <w:color w:val="000000" w:themeColor="text1"/>
          <w:kern w:val="0"/>
          <w:sz w:val="22"/>
          <w:szCs w:val="22"/>
          <w:bdr w:val="none" w:sz="0" w:space="0" w:color="auto" w:frame="1"/>
          <w:lang w:eastAsia="nl-NL"/>
          <w14:ligatures w14:val="none"/>
        </w:rPr>
        <w:t>Lijst Melvin Smid </w:t>
      </w:r>
      <w:r w:rsidRPr="00282319">
        <w:rPr>
          <w:rFonts w:ascii="Aptos" w:eastAsia="Times New Roman" w:hAnsi="Aptos" w:cs="Arial"/>
          <w:color w:val="242424"/>
          <w:kern w:val="0"/>
          <w:sz w:val="22"/>
          <w:szCs w:val="22"/>
          <w:bdr w:val="none" w:sz="0" w:space="0" w:color="auto" w:frame="1"/>
          <w:lang w:eastAsia="nl-NL"/>
          <w14:ligatures w14:val="none"/>
        </w:rPr>
        <w:t>(hierna: “de partij”).</w:t>
      </w:r>
    </w:p>
    <w:p w14:paraId="41862A28" w14:textId="77777777" w:rsidR="00C709E8" w:rsidRPr="00282319" w:rsidRDefault="00C709E8" w:rsidP="00C709E8">
      <w:pPr>
        <w:numPr>
          <w:ilvl w:val="0"/>
          <w:numId w:val="1"/>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Het reglement is gebaseerd op en bedoeld ter naleving van de Wet financiering politieke partijen en gerelateerde regelgeving zoals geldend in Nederland.  </w:t>
      </w:r>
    </w:p>
    <w:p w14:paraId="12458139"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F7B1557"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FEE75D4"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2. Definities</w:t>
      </w:r>
    </w:p>
    <w:p w14:paraId="6B4E0BC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2C26AA3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In dit reglement wordt verstaan onder:</w:t>
      </w:r>
    </w:p>
    <w:p w14:paraId="625D8AA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a. Gift: elke geldelijke bijdrage of materiële bijdrage zonder tegenprestatie.</w:t>
      </w:r>
    </w:p>
    <w:p w14:paraId="399CEDC1"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b. Donateur: de natuurlijke persoon of rechtspersoon die een gift ter beschikking stelt.</w:t>
      </w:r>
    </w:p>
    <w:p w14:paraId="5459CAB9"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c. Anonieme gift: een gift waarvan de gever onbekend wil blijven.</w:t>
      </w:r>
    </w:p>
    <w:p w14:paraId="13C2EB3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 Substantiële gift: giften die op grond van wetgeving en/of ministeriële regels direct gemeld en openbaar gemaakt moeten worden (bijv. vanaf €10.000; zie artikel 6). </w:t>
      </w:r>
    </w:p>
    <w:p w14:paraId="37C70FF9"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ABC9F9E"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1445A45"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3. Algemene acceptatievoorwaarden</w:t>
      </w:r>
    </w:p>
    <w:p w14:paraId="62A1645E"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494622F" w14:textId="15B5B01D" w:rsidR="00C709E8" w:rsidRPr="00282319" w:rsidRDefault="00C709E8" w:rsidP="00C709E8">
      <w:pPr>
        <w:numPr>
          <w:ilvl w:val="0"/>
          <w:numId w:val="2"/>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partij accepteert geen giften die:</w:t>
      </w:r>
      <w:r w:rsidRPr="00282319">
        <w:rPr>
          <w:rFonts w:ascii="Aptos" w:eastAsia="Times New Roman" w:hAnsi="Aptos" w:cs="Arial"/>
          <w:color w:val="242424"/>
          <w:kern w:val="0"/>
          <w:sz w:val="22"/>
          <w:szCs w:val="22"/>
          <w:bdr w:val="none" w:sz="0" w:space="0" w:color="auto" w:frame="1"/>
          <w:lang w:eastAsia="nl-NL"/>
          <w14:ligatures w14:val="none"/>
        </w:rPr>
        <w:br/>
        <w:t>a. afkomstig zijn van buitenlandse overheden of in strijd zijn met nationale wetgeving over buitenlandse financiering;</w:t>
      </w:r>
      <w:r w:rsidRPr="00282319">
        <w:rPr>
          <w:rFonts w:ascii="Aptos" w:eastAsia="Times New Roman" w:hAnsi="Aptos" w:cs="Arial"/>
          <w:color w:val="242424"/>
          <w:kern w:val="0"/>
          <w:sz w:val="22"/>
          <w:szCs w:val="22"/>
          <w:bdr w:val="none" w:sz="0" w:space="0" w:color="auto" w:frame="1"/>
          <w:lang w:eastAsia="nl-NL"/>
          <w14:ligatures w14:val="none"/>
        </w:rPr>
        <w:br/>
        <w:t>b. voorwaarden bevatten die politieke onafhankelijkheid of integriteit van de partij kunnen schaden;</w:t>
      </w:r>
      <w:r w:rsidRPr="00282319">
        <w:rPr>
          <w:rFonts w:ascii="Aptos" w:eastAsia="Times New Roman" w:hAnsi="Aptos" w:cs="Arial"/>
          <w:color w:val="242424"/>
          <w:kern w:val="0"/>
          <w:sz w:val="22"/>
          <w:szCs w:val="22"/>
          <w:bdr w:val="none" w:sz="0" w:space="0" w:color="auto" w:frame="1"/>
          <w:lang w:eastAsia="nl-NL"/>
          <w14:ligatures w14:val="none"/>
        </w:rPr>
        <w:br/>
        <w:t>c. afkomstig zijn van personen of organisaties die betrokken zijn bij strafbare feiten en waarvan de herkomst van middelen twijfelachtig is;</w:t>
      </w:r>
      <w:r w:rsidRPr="00282319">
        <w:rPr>
          <w:rFonts w:ascii="Aptos" w:eastAsia="Times New Roman" w:hAnsi="Aptos" w:cs="Arial"/>
          <w:color w:val="242424"/>
          <w:kern w:val="0"/>
          <w:sz w:val="22"/>
          <w:szCs w:val="22"/>
          <w:bdr w:val="none" w:sz="0" w:space="0" w:color="auto" w:frame="1"/>
          <w:lang w:eastAsia="nl-NL"/>
          <w14:ligatures w14:val="none"/>
        </w:rPr>
        <w:br/>
        <w:t>d. strijdig zijn met de openbare orde of het partijprogramma.  </w:t>
      </w:r>
    </w:p>
    <w:p w14:paraId="2B877E77" w14:textId="7A1608CC" w:rsidR="00C709E8" w:rsidRPr="00282319" w:rsidRDefault="00C709E8" w:rsidP="00C709E8">
      <w:pPr>
        <w:numPr>
          <w:ilvl w:val="0"/>
          <w:numId w:val="2"/>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partij behoudt zich het recht voor giften (na toetsing) te weigeren of terug te geven.</w:t>
      </w:r>
    </w:p>
    <w:p w14:paraId="080B697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A0DA4F5"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487E058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4. Limieten en verboden</w:t>
      </w:r>
    </w:p>
    <w:p w14:paraId="25A6BA3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8D9BF0F" w14:textId="07A22E43" w:rsidR="00C709E8" w:rsidRPr="00282319" w:rsidRDefault="00C709E8" w:rsidP="00C709E8">
      <w:pPr>
        <w:numPr>
          <w:ilvl w:val="0"/>
          <w:numId w:val="3"/>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partij hanteert de wettelijk vastgestelde maxima per donor per jaar zoals in de Wfpp is geregeld (waarvan de hoogte door de wetgever is vastgesteld). Donaties die de wettelijke maxima overschrijden worden niet geaccepteerd.  </w:t>
      </w:r>
    </w:p>
    <w:p w14:paraId="0483A2CE" w14:textId="60BFF3F7" w:rsidR="00C709E8" w:rsidRPr="00282319" w:rsidRDefault="00C709E8" w:rsidP="00C709E8">
      <w:pPr>
        <w:numPr>
          <w:ilvl w:val="0"/>
          <w:numId w:val="3"/>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Anonieme giften boven de wettelijk vastgestelde drempel worden niet geaccepteerd. (Indien de wet een maximale drempel voor anonieme giften bevat: de partij volgt die drempel en de aanvullende administratieve eisen.)  </w:t>
      </w:r>
    </w:p>
    <w:p w14:paraId="4F660BF6" w14:textId="77777777" w:rsidR="001C09CB" w:rsidRDefault="001C09CB"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23DEF8C7" w14:textId="326E6002"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lastRenderedPageBreak/>
        <w:t>Artikel 5. Registratie en administratie</w:t>
      </w:r>
    </w:p>
    <w:p w14:paraId="1BC21ADE"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08D67F5" w14:textId="37A6AE6B" w:rsidR="00C709E8" w:rsidRPr="00282319" w:rsidRDefault="00C709E8" w:rsidP="00C709E8">
      <w:pPr>
        <w:numPr>
          <w:ilvl w:val="0"/>
          <w:numId w:val="4"/>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 xml:space="preserve">Alle ontvangen giften worden binnen </w:t>
      </w:r>
      <w:r w:rsidR="00A06D68">
        <w:rPr>
          <w:rFonts w:ascii="Aptos" w:eastAsia="Times New Roman" w:hAnsi="Aptos" w:cs="Arial"/>
          <w:color w:val="242424"/>
          <w:kern w:val="0"/>
          <w:sz w:val="22"/>
          <w:szCs w:val="22"/>
          <w:bdr w:val="none" w:sz="0" w:space="0" w:color="auto" w:frame="1"/>
          <w:lang w:eastAsia="nl-NL"/>
          <w14:ligatures w14:val="none"/>
        </w:rPr>
        <w:t>8</w:t>
      </w:r>
      <w:r w:rsidRPr="00282319">
        <w:rPr>
          <w:rFonts w:ascii="Aptos" w:eastAsia="Times New Roman" w:hAnsi="Aptos" w:cs="Arial"/>
          <w:color w:val="242424"/>
          <w:kern w:val="0"/>
          <w:sz w:val="22"/>
          <w:szCs w:val="22"/>
          <w:bdr w:val="none" w:sz="0" w:space="0" w:color="auto" w:frame="1"/>
          <w:lang w:eastAsia="nl-NL"/>
          <w14:ligatures w14:val="none"/>
        </w:rPr>
        <w:t xml:space="preserve"> werkdagen vastgelegd in het giftenregister van de partij. De registratie bevat ten minste: datum ontvangst, bedrag of waarde, naam en adres van de gever, eventuele zakelijke gegevens (bij rechtspersonen), en een korte omschrijving van de herkomst.</w:t>
      </w:r>
    </w:p>
    <w:p w14:paraId="4BD9C30C" w14:textId="77777777" w:rsidR="00C709E8" w:rsidRPr="00282319" w:rsidRDefault="00C709E8" w:rsidP="00C709E8">
      <w:pPr>
        <w:numPr>
          <w:ilvl w:val="0"/>
          <w:numId w:val="4"/>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penningmeester is verantwoordelijk voor de administratie en bewaart alle ondersteunende documenten (bankafschriften, ontvangstbewijzen) minimaal de wettelijk voorgeschreven bewaartermijn.</w:t>
      </w:r>
    </w:p>
    <w:p w14:paraId="6C9443CE"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EFA3957"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307669B1"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6. Openbaarmaking en meldplicht</w:t>
      </w:r>
    </w:p>
    <w:p w14:paraId="1CEA4C9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389C74C" w14:textId="77777777" w:rsidR="00C709E8" w:rsidRPr="00282319" w:rsidRDefault="00C709E8" w:rsidP="00C709E8">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Giften die volgens de Wfpp openbaar gemaakt moeten worden (bijv. giften vanaf €1.000 in het jaarverslag) worden opgenomen in het jaarlijkse financieel verslag en op de door de wet voorgeschreven wijze openbaar gemaakt.  </w:t>
      </w:r>
    </w:p>
    <w:p w14:paraId="37AFAB84" w14:textId="064F1B05" w:rsidR="00C709E8" w:rsidRPr="00282319" w:rsidRDefault="00C709E8" w:rsidP="00C709E8">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Substantiële giften (zoals wettelijk gedefinieerd; bijv. vanaf €10.000) worden binnen de wettelijk voorgeschreven termijn aan de bevoegde toezichthoudende instantie gemeld en, waar wettelijk vereist, openbaar gemaakt binnen de termijn die de wet voorschrijft (bijv. binnen 3 dagen/10 dagen afhankelijk van de situatie). De partij volgt de actuele termijnen uit de Wfpp en uitvoeringsregels.  </w:t>
      </w:r>
    </w:p>
    <w:p w14:paraId="6953B8EC" w14:textId="6C0CE074" w:rsidR="00C709E8" w:rsidRPr="00282319" w:rsidRDefault="00C709E8" w:rsidP="00C709E8">
      <w:pPr>
        <w:numPr>
          <w:ilvl w:val="0"/>
          <w:numId w:val="5"/>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Voor giften die geen openbaarmakingplicht hebben volgens de wet, geldt dat de partij toch interne transparantie laat gelden en deze giften in de financiële administratie registreert.</w:t>
      </w:r>
    </w:p>
    <w:p w14:paraId="71805CBD"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472B24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F2E0BC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7. Transparantie naar donateurs en publiek</w:t>
      </w:r>
    </w:p>
    <w:p w14:paraId="61E065BE"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8AC0655" w14:textId="6C851A3C" w:rsidR="00C709E8" w:rsidRPr="00282319" w:rsidRDefault="00C709E8" w:rsidP="00C709E8">
      <w:pPr>
        <w:numPr>
          <w:ilvl w:val="0"/>
          <w:numId w:val="6"/>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partij publiceert jaarlijks in het jaarverslag een overzicht van giften die openbaar gemaakt moeten worden, conform de wettelijke eisen.</w:t>
      </w:r>
    </w:p>
    <w:p w14:paraId="7A7BE2B0" w14:textId="77777777" w:rsidR="00C709E8" w:rsidRPr="00282319" w:rsidRDefault="00C709E8" w:rsidP="00C709E8">
      <w:pPr>
        <w:numPr>
          <w:ilvl w:val="0"/>
          <w:numId w:val="6"/>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In het jaarverslag wordt opgenomen welke bedragen bijgedragen zijn, de naam van de gever en overige vereiste informatie volgens wet en richtlijnen.</w:t>
      </w:r>
    </w:p>
    <w:p w14:paraId="7DB464DB"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45766E2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B6C0E7A"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8. Procedure bij twijfel over herkomst</w:t>
      </w:r>
    </w:p>
    <w:p w14:paraId="2B744F64"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E69040A" w14:textId="7F772313" w:rsidR="00C709E8" w:rsidRPr="00282319" w:rsidRDefault="00C709E8" w:rsidP="00C709E8">
      <w:pPr>
        <w:numPr>
          <w:ilvl w:val="0"/>
          <w:numId w:val="7"/>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Indien er twijfel bestaat over de herkomst van een gift (witwasrisico, onduidelijke herkomst), wordt de gift niet uitgegeven voor gebruik en legt de penningmeester het voor aan het bestuur. Het bestuur kan besluiten de gift te weigeren of terug te geven en</w:t>
      </w:r>
      <w:r w:rsidR="0099088E">
        <w:rPr>
          <w:rFonts w:ascii="Aptos" w:eastAsia="Times New Roman" w:hAnsi="Aptos" w:cs="Arial"/>
          <w:color w:val="242424"/>
          <w:kern w:val="0"/>
          <w:sz w:val="22"/>
          <w:szCs w:val="22"/>
          <w:bdr w:val="none" w:sz="0" w:space="0" w:color="auto" w:frame="1"/>
          <w:lang w:eastAsia="nl-NL"/>
          <w14:ligatures w14:val="none"/>
        </w:rPr>
        <w:t xml:space="preserve"> (</w:t>
      </w:r>
      <w:r w:rsidRPr="00282319">
        <w:rPr>
          <w:rFonts w:ascii="Aptos" w:eastAsia="Times New Roman" w:hAnsi="Aptos" w:cs="Arial"/>
          <w:color w:val="242424"/>
          <w:kern w:val="0"/>
          <w:sz w:val="22"/>
          <w:szCs w:val="22"/>
          <w:bdr w:val="none" w:sz="0" w:space="0" w:color="auto" w:frame="1"/>
          <w:lang w:eastAsia="nl-NL"/>
          <w14:ligatures w14:val="none"/>
        </w:rPr>
        <w:t>indien wettelijk verplicht</w:t>
      </w:r>
      <w:r w:rsidR="0099088E">
        <w:rPr>
          <w:rFonts w:ascii="Aptos" w:eastAsia="Times New Roman" w:hAnsi="Aptos" w:cs="Arial"/>
          <w:color w:val="242424"/>
          <w:kern w:val="0"/>
          <w:sz w:val="22"/>
          <w:szCs w:val="22"/>
          <w:bdr w:val="none" w:sz="0" w:space="0" w:color="auto" w:frame="1"/>
          <w:lang w:eastAsia="nl-NL"/>
          <w14:ligatures w14:val="none"/>
        </w:rPr>
        <w:t>)</w:t>
      </w:r>
      <w:r w:rsidRPr="00282319">
        <w:rPr>
          <w:rFonts w:ascii="Aptos" w:eastAsia="Times New Roman" w:hAnsi="Aptos" w:cs="Arial"/>
          <w:color w:val="242424"/>
          <w:kern w:val="0"/>
          <w:sz w:val="22"/>
          <w:szCs w:val="22"/>
          <w:bdr w:val="none" w:sz="0" w:space="0" w:color="auto" w:frame="1"/>
          <w:lang w:eastAsia="nl-NL"/>
          <w14:ligatures w14:val="none"/>
        </w:rPr>
        <w:t xml:space="preserve"> de zaak ter beoordeling voor te leggen aan bevoegde instanties.</w:t>
      </w:r>
    </w:p>
    <w:p w14:paraId="587FC3D6"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3888CB3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2E830ED"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9. Verantwoordelijkheden en toezicht</w:t>
      </w:r>
    </w:p>
    <w:p w14:paraId="20F477D5"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5DA5DCC6" w14:textId="77777777" w:rsidR="00C709E8" w:rsidRPr="00282319" w:rsidRDefault="00C709E8" w:rsidP="00C709E8">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Het bestuur draagt zorg voor naleving van dit reglement en voor periodieke toetsing van procedures.</w:t>
      </w:r>
    </w:p>
    <w:p w14:paraId="3F139330" w14:textId="77777777" w:rsidR="00C709E8" w:rsidRPr="00282319" w:rsidRDefault="00C709E8" w:rsidP="00C709E8">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penningmeester is primair verantwoordelijk voor correcte registratie en tijdige meldingen.</w:t>
      </w:r>
    </w:p>
    <w:p w14:paraId="6D026A8E" w14:textId="11B14182" w:rsidR="00C709E8" w:rsidRPr="00282319" w:rsidRDefault="00C709E8" w:rsidP="00C709E8">
      <w:pPr>
        <w:numPr>
          <w:ilvl w:val="0"/>
          <w:numId w:val="8"/>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De partij coöpereren met eventuele toezichthouders en verstrekt op verzoek benodigde gegevens voor controle.</w:t>
      </w:r>
    </w:p>
    <w:p w14:paraId="3A0EA9C8" w14:textId="77777777" w:rsidR="001C09CB" w:rsidRDefault="001C09CB"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33DEE8C" w14:textId="367ED06D"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lastRenderedPageBreak/>
        <w:t>Artikel 10. Procedure voor ontvangst (praktisch)</w:t>
      </w:r>
    </w:p>
    <w:p w14:paraId="4586E10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72035BED" w14:textId="1A9FBB9B" w:rsidR="009A6B50" w:rsidRPr="009A6B50" w:rsidRDefault="00C709E8" w:rsidP="00C709E8">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 xml:space="preserve">Ontvangen giften worden binnen </w:t>
      </w:r>
      <w:r w:rsidR="00D37B3B">
        <w:rPr>
          <w:rFonts w:ascii="Aptos" w:eastAsia="Times New Roman" w:hAnsi="Aptos" w:cs="Arial"/>
          <w:color w:val="242424"/>
          <w:kern w:val="0"/>
          <w:sz w:val="22"/>
          <w:szCs w:val="22"/>
          <w:bdr w:val="none" w:sz="0" w:space="0" w:color="auto" w:frame="1"/>
          <w:lang w:eastAsia="nl-NL"/>
          <w14:ligatures w14:val="none"/>
        </w:rPr>
        <w:t>8</w:t>
      </w:r>
      <w:r w:rsidRPr="00282319">
        <w:rPr>
          <w:rFonts w:ascii="Aptos" w:eastAsia="Times New Roman" w:hAnsi="Aptos" w:cs="Arial"/>
          <w:color w:val="242424"/>
          <w:kern w:val="0"/>
          <w:sz w:val="22"/>
          <w:szCs w:val="22"/>
          <w:bdr w:val="none" w:sz="0" w:space="0" w:color="auto" w:frame="1"/>
          <w:lang w:eastAsia="nl-NL"/>
          <w14:ligatures w14:val="none"/>
        </w:rPr>
        <w:t xml:space="preserve"> werkdagen geboekt en bevestigd met een ontvangstbewijs naar de gever.</w:t>
      </w:r>
      <w:r w:rsidR="00C61A30">
        <w:rPr>
          <w:rFonts w:ascii="Aptos" w:eastAsia="Times New Roman" w:hAnsi="Aptos" w:cs="Arial"/>
          <w:color w:val="242424"/>
          <w:kern w:val="0"/>
          <w:sz w:val="22"/>
          <w:szCs w:val="22"/>
          <w:bdr w:val="none" w:sz="0" w:space="0" w:color="auto" w:frame="1"/>
          <w:lang w:eastAsia="nl-NL"/>
          <w14:ligatures w14:val="none"/>
        </w:rPr>
        <w:t xml:space="preserve"> Giften worden </w:t>
      </w:r>
      <w:r w:rsidR="00DA5491">
        <w:rPr>
          <w:rFonts w:ascii="Aptos" w:eastAsia="Times New Roman" w:hAnsi="Aptos" w:cs="Arial"/>
          <w:color w:val="242424"/>
          <w:kern w:val="0"/>
          <w:sz w:val="22"/>
          <w:szCs w:val="22"/>
          <w:bdr w:val="none" w:sz="0" w:space="0" w:color="auto" w:frame="1"/>
          <w:lang w:eastAsia="nl-NL"/>
          <w14:ligatures w14:val="none"/>
        </w:rPr>
        <w:t>bij voorkeur</w:t>
      </w:r>
      <w:r w:rsidR="00C61A30">
        <w:rPr>
          <w:rFonts w:ascii="Aptos" w:eastAsia="Times New Roman" w:hAnsi="Aptos" w:cs="Arial"/>
          <w:color w:val="242424"/>
          <w:kern w:val="0"/>
          <w:sz w:val="22"/>
          <w:szCs w:val="22"/>
          <w:bdr w:val="none" w:sz="0" w:space="0" w:color="auto" w:frame="1"/>
          <w:lang w:eastAsia="nl-NL"/>
          <w14:ligatures w14:val="none"/>
        </w:rPr>
        <w:t xml:space="preserve"> digitaal of via bankoverschrijving geaccepteerd. </w:t>
      </w:r>
    </w:p>
    <w:p w14:paraId="2C3CB8C5" w14:textId="430C911F" w:rsidR="00C709E8" w:rsidRPr="00BD7F69" w:rsidRDefault="009A6B50" w:rsidP="00C709E8">
      <w:pPr>
        <w:numPr>
          <w:ilvl w:val="0"/>
          <w:numId w:val="9"/>
        </w:numPr>
        <w:shd w:val="clear" w:color="auto" w:fill="FFFFFF"/>
        <w:spacing w:after="0" w:line="240" w:lineRule="auto"/>
        <w:rPr>
          <w:rFonts w:ascii="Aptos" w:eastAsia="Times New Roman" w:hAnsi="Aptos" w:cs="Arial"/>
          <w:color w:val="242424"/>
          <w:kern w:val="0"/>
          <w:sz w:val="22"/>
          <w:szCs w:val="22"/>
          <w:lang w:eastAsia="nl-NL"/>
          <w14:ligatures w14:val="none"/>
        </w:rPr>
      </w:pPr>
      <w:r>
        <w:rPr>
          <w:rFonts w:ascii="Aptos" w:eastAsia="Times New Roman" w:hAnsi="Aptos" w:cs="Arial"/>
          <w:color w:val="242424"/>
          <w:kern w:val="0"/>
          <w:sz w:val="22"/>
          <w:szCs w:val="22"/>
          <w:bdr w:val="none" w:sz="0" w:space="0" w:color="auto" w:frame="1"/>
          <w:lang w:eastAsia="nl-NL"/>
          <w14:ligatures w14:val="none"/>
        </w:rPr>
        <w:t xml:space="preserve">Contante giften tot maximaal €50, worden geaccepteerd, met dien ten verstande dat zij (volgens wetgeving) sinds 2025 niet meer aftrekbaar zijn </w:t>
      </w:r>
      <w:r w:rsidR="00DA5491">
        <w:rPr>
          <w:rFonts w:ascii="Aptos" w:eastAsia="Times New Roman" w:hAnsi="Aptos" w:cs="Arial"/>
          <w:color w:val="242424"/>
          <w:kern w:val="0"/>
          <w:sz w:val="22"/>
          <w:szCs w:val="22"/>
          <w:bdr w:val="none" w:sz="0" w:space="0" w:color="auto" w:frame="1"/>
          <w:lang w:eastAsia="nl-NL"/>
          <w14:ligatures w14:val="none"/>
        </w:rPr>
        <w:t xml:space="preserve">bij een belastingaangifte. </w:t>
      </w:r>
      <w:r w:rsidR="00BD7F69">
        <w:rPr>
          <w:rFonts w:ascii="Aptos" w:eastAsia="Times New Roman" w:hAnsi="Aptos" w:cs="Arial"/>
          <w:color w:val="242424"/>
          <w:kern w:val="0"/>
          <w:sz w:val="22"/>
          <w:szCs w:val="22"/>
          <w:lang w:eastAsia="nl-NL"/>
          <w14:ligatures w14:val="none"/>
        </w:rPr>
        <w:br/>
      </w:r>
    </w:p>
    <w:p w14:paraId="308933B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A9288CB"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11. Sancties en consequenties bij overtreding</w:t>
      </w:r>
    </w:p>
    <w:p w14:paraId="029690E4"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1DC2987" w14:textId="3EC34BAB" w:rsidR="00C709E8" w:rsidRPr="00282319" w:rsidRDefault="00C709E8" w:rsidP="00C709E8">
      <w:pPr>
        <w:numPr>
          <w:ilvl w:val="0"/>
          <w:numId w:val="10"/>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Overtredingen van dit reglement door functionarissen leiden tot bestuurlijke maatregelen conform het huishoudelijk reglement van de partij.</w:t>
      </w:r>
    </w:p>
    <w:p w14:paraId="4631E8E0" w14:textId="77777777" w:rsidR="00C709E8" w:rsidRPr="00282319" w:rsidRDefault="00C709E8" w:rsidP="00C709E8">
      <w:pPr>
        <w:numPr>
          <w:ilvl w:val="0"/>
          <w:numId w:val="10"/>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Ernstige of opzettelijke overtredingen worden door het bestuur gemeld aan de bevoegde autoriteiten.</w:t>
      </w:r>
    </w:p>
    <w:p w14:paraId="69BBB42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60FA8EF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74C4573"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12. Inwerkingtreding en wijziging</w:t>
      </w:r>
    </w:p>
    <w:p w14:paraId="68BFAC41"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C401567" w14:textId="77777777" w:rsidR="00C709E8" w:rsidRPr="00282319" w:rsidRDefault="00C709E8" w:rsidP="00C709E8">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Dit reglement treedt in werking op de datum van vaststelling door het bestuur.</w:t>
      </w:r>
    </w:p>
    <w:p w14:paraId="6181D773" w14:textId="77777777" w:rsidR="00C709E8" w:rsidRPr="00282319" w:rsidRDefault="00C709E8" w:rsidP="00C709E8">
      <w:pPr>
        <w:numPr>
          <w:ilvl w:val="0"/>
          <w:numId w:val="11"/>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Wijzigingen in wetgeving worden door het bestuur beoordeeld; het bestuur is verantwoordelijk voor tijdige aanpassing van dit reglement aan gewijzigde wettelijke verplichtingen.</w:t>
      </w:r>
    </w:p>
    <w:p w14:paraId="4D33381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2D4DBBFF"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1A31F2F7"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b/>
          <w:bCs/>
          <w:color w:val="242424"/>
          <w:kern w:val="0"/>
          <w:sz w:val="22"/>
          <w:szCs w:val="22"/>
          <w:bdr w:val="none" w:sz="0" w:space="0" w:color="auto" w:frame="1"/>
          <w:lang w:eastAsia="nl-NL"/>
          <w14:ligatures w14:val="none"/>
        </w:rPr>
        <w:t>Artikel 13. Slotbepalingen</w:t>
      </w:r>
    </w:p>
    <w:p w14:paraId="5ECA21EC" w14:textId="77777777" w:rsidR="00C709E8" w:rsidRPr="00282319" w:rsidRDefault="00C709E8" w:rsidP="00C709E8">
      <w:pPr>
        <w:shd w:val="clear" w:color="auto" w:fill="FFFFFF"/>
        <w:spacing w:after="0" w:line="240" w:lineRule="auto"/>
        <w:rPr>
          <w:rFonts w:ascii="Aptos" w:eastAsia="Times New Roman" w:hAnsi="Aptos" w:cs="Arial"/>
          <w:color w:val="242424"/>
          <w:kern w:val="0"/>
          <w:sz w:val="22"/>
          <w:szCs w:val="22"/>
          <w:lang w:eastAsia="nl-NL"/>
          <w14:ligatures w14:val="none"/>
        </w:rPr>
      </w:pPr>
    </w:p>
    <w:p w14:paraId="0B843720" w14:textId="77777777" w:rsidR="00C709E8" w:rsidRPr="00282319" w:rsidRDefault="00C709E8" w:rsidP="00C709E8">
      <w:pPr>
        <w:numPr>
          <w:ilvl w:val="0"/>
          <w:numId w:val="12"/>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Voor niet in dit reglement voorziene gevallen beslist het bestuur.</w:t>
      </w:r>
    </w:p>
    <w:p w14:paraId="6A4378AD" w14:textId="77777777" w:rsidR="00C709E8" w:rsidRPr="00282319" w:rsidRDefault="00C709E8" w:rsidP="00C709E8">
      <w:pPr>
        <w:numPr>
          <w:ilvl w:val="0"/>
          <w:numId w:val="12"/>
        </w:numPr>
        <w:shd w:val="clear" w:color="auto" w:fill="FFFFFF"/>
        <w:spacing w:after="0" w:line="240" w:lineRule="auto"/>
        <w:rPr>
          <w:rFonts w:ascii="Aptos" w:eastAsia="Times New Roman" w:hAnsi="Aptos" w:cs="Arial"/>
          <w:color w:val="242424"/>
          <w:kern w:val="0"/>
          <w:sz w:val="22"/>
          <w:szCs w:val="22"/>
          <w:lang w:eastAsia="nl-NL"/>
          <w14:ligatures w14:val="none"/>
        </w:rPr>
      </w:pPr>
      <w:r w:rsidRPr="00282319">
        <w:rPr>
          <w:rFonts w:ascii="Aptos" w:eastAsia="Times New Roman" w:hAnsi="Aptos" w:cs="Arial"/>
          <w:color w:val="242424"/>
          <w:kern w:val="0"/>
          <w:sz w:val="22"/>
          <w:szCs w:val="22"/>
          <w:bdr w:val="none" w:sz="0" w:space="0" w:color="auto" w:frame="1"/>
          <w:lang w:eastAsia="nl-NL"/>
          <w14:ligatures w14:val="none"/>
        </w:rPr>
        <w:t>Voor interpretatie van begrippen geldt de uitleg zoals in de Wet financiering politieke partijen.</w:t>
      </w:r>
    </w:p>
    <w:p w14:paraId="6604C940" w14:textId="77777777" w:rsidR="00C709E8" w:rsidRPr="00282319" w:rsidRDefault="00C709E8">
      <w:pPr>
        <w:rPr>
          <w:rFonts w:ascii="Aptos" w:hAnsi="Aptos" w:cs="Arial"/>
          <w:sz w:val="22"/>
          <w:szCs w:val="22"/>
        </w:rPr>
      </w:pPr>
    </w:p>
    <w:sectPr w:rsidR="00C709E8" w:rsidRPr="00282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0FE"/>
    <w:multiLevelType w:val="multilevel"/>
    <w:tmpl w:val="0F90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920CD"/>
    <w:multiLevelType w:val="multilevel"/>
    <w:tmpl w:val="11A0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B5DBF"/>
    <w:multiLevelType w:val="multilevel"/>
    <w:tmpl w:val="6B22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D567D"/>
    <w:multiLevelType w:val="multilevel"/>
    <w:tmpl w:val="8CC2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25BDE"/>
    <w:multiLevelType w:val="multilevel"/>
    <w:tmpl w:val="3F9A6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93690"/>
    <w:multiLevelType w:val="multilevel"/>
    <w:tmpl w:val="DB5C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60DDD"/>
    <w:multiLevelType w:val="multilevel"/>
    <w:tmpl w:val="0E4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797C0A"/>
    <w:multiLevelType w:val="multilevel"/>
    <w:tmpl w:val="BF4AE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07BF3"/>
    <w:multiLevelType w:val="multilevel"/>
    <w:tmpl w:val="B4C4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767A4"/>
    <w:multiLevelType w:val="multilevel"/>
    <w:tmpl w:val="9B3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B1E5C"/>
    <w:multiLevelType w:val="multilevel"/>
    <w:tmpl w:val="EF18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32148"/>
    <w:multiLevelType w:val="multilevel"/>
    <w:tmpl w:val="1DAC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333511">
    <w:abstractNumId w:val="11"/>
  </w:num>
  <w:num w:numId="2" w16cid:durableId="682823215">
    <w:abstractNumId w:val="10"/>
  </w:num>
  <w:num w:numId="3" w16cid:durableId="512653143">
    <w:abstractNumId w:val="7"/>
  </w:num>
  <w:num w:numId="4" w16cid:durableId="1619682754">
    <w:abstractNumId w:val="2"/>
  </w:num>
  <w:num w:numId="5" w16cid:durableId="385185156">
    <w:abstractNumId w:val="0"/>
  </w:num>
  <w:num w:numId="6" w16cid:durableId="2028479974">
    <w:abstractNumId w:val="1"/>
  </w:num>
  <w:num w:numId="7" w16cid:durableId="1560165834">
    <w:abstractNumId w:val="5"/>
  </w:num>
  <w:num w:numId="8" w16cid:durableId="151025019">
    <w:abstractNumId w:val="6"/>
  </w:num>
  <w:num w:numId="9" w16cid:durableId="1224753303">
    <w:abstractNumId w:val="9"/>
  </w:num>
  <w:num w:numId="10" w16cid:durableId="1306885539">
    <w:abstractNumId w:val="3"/>
  </w:num>
  <w:num w:numId="11" w16cid:durableId="628821274">
    <w:abstractNumId w:val="4"/>
  </w:num>
  <w:num w:numId="12" w16cid:durableId="1680157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E8"/>
    <w:rsid w:val="001C09CB"/>
    <w:rsid w:val="00282319"/>
    <w:rsid w:val="0099088E"/>
    <w:rsid w:val="009A6B50"/>
    <w:rsid w:val="00A06D68"/>
    <w:rsid w:val="00BD7F69"/>
    <w:rsid w:val="00C61A30"/>
    <w:rsid w:val="00C709E8"/>
    <w:rsid w:val="00CA7C7B"/>
    <w:rsid w:val="00D37B3B"/>
    <w:rsid w:val="00DA5491"/>
    <w:rsid w:val="00F86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273A"/>
  <w15:chartTrackingRefBased/>
  <w15:docId w15:val="{02BB0F78-8A8C-49F1-B4DA-7B14470A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9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9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9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9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9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9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9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9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9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9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9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9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9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9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9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9E8"/>
    <w:rPr>
      <w:rFonts w:eastAsiaTheme="majorEastAsia" w:cstheme="majorBidi"/>
      <w:color w:val="272727" w:themeColor="text1" w:themeTint="D8"/>
    </w:rPr>
  </w:style>
  <w:style w:type="paragraph" w:styleId="Titel">
    <w:name w:val="Title"/>
    <w:basedOn w:val="Standaard"/>
    <w:next w:val="Standaard"/>
    <w:link w:val="TitelChar"/>
    <w:uiPriority w:val="10"/>
    <w:qFormat/>
    <w:rsid w:val="00C7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9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9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9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9E8"/>
    <w:rPr>
      <w:i/>
      <w:iCs/>
      <w:color w:val="404040" w:themeColor="text1" w:themeTint="BF"/>
    </w:rPr>
  </w:style>
  <w:style w:type="paragraph" w:styleId="Lijstalinea">
    <w:name w:val="List Paragraph"/>
    <w:basedOn w:val="Standaard"/>
    <w:uiPriority w:val="34"/>
    <w:qFormat/>
    <w:rsid w:val="00C709E8"/>
    <w:pPr>
      <w:ind w:left="720"/>
      <w:contextualSpacing/>
    </w:pPr>
  </w:style>
  <w:style w:type="character" w:styleId="Intensievebenadrukking">
    <w:name w:val="Intense Emphasis"/>
    <w:basedOn w:val="Standaardalinea-lettertype"/>
    <w:uiPriority w:val="21"/>
    <w:qFormat/>
    <w:rsid w:val="00C709E8"/>
    <w:rPr>
      <w:i/>
      <w:iCs/>
      <w:color w:val="0F4761" w:themeColor="accent1" w:themeShade="BF"/>
    </w:rPr>
  </w:style>
  <w:style w:type="paragraph" w:styleId="Duidelijkcitaat">
    <w:name w:val="Intense Quote"/>
    <w:basedOn w:val="Standaard"/>
    <w:next w:val="Standaard"/>
    <w:link w:val="DuidelijkcitaatChar"/>
    <w:uiPriority w:val="30"/>
    <w:qFormat/>
    <w:rsid w:val="00C7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9E8"/>
    <w:rPr>
      <w:i/>
      <w:iCs/>
      <w:color w:val="0F4761" w:themeColor="accent1" w:themeShade="BF"/>
    </w:rPr>
  </w:style>
  <w:style w:type="character" w:styleId="Intensieveverwijzing">
    <w:name w:val="Intense Reference"/>
    <w:basedOn w:val="Standaardalinea-lettertype"/>
    <w:uiPriority w:val="32"/>
    <w:qFormat/>
    <w:rsid w:val="00C70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864</Words>
  <Characters>4755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Smid</dc:creator>
  <cp:keywords/>
  <dc:description/>
  <cp:lastModifiedBy>Sandra .........</cp:lastModifiedBy>
  <cp:revision>9</cp:revision>
  <dcterms:created xsi:type="dcterms:W3CDTF">2026-02-26T20:44:00Z</dcterms:created>
  <dcterms:modified xsi:type="dcterms:W3CDTF">2026-03-02T22:03:00Z</dcterms:modified>
</cp:coreProperties>
</file>